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5C33" w14:textId="77777777" w:rsidR="004A1E10" w:rsidRDefault="000E14B3">
      <w:pPr>
        <w:pStyle w:val="berschrift1"/>
      </w:pPr>
      <w:r>
        <w:t>Gaming Industrie in Deutschland</w:t>
      </w:r>
    </w:p>
    <w:p w14:paraId="051F0F03" w14:textId="77777777" w:rsidR="004A1E10" w:rsidRDefault="000E14B3">
      <w:pPr>
        <w:pStyle w:val="berschrift2"/>
      </w:pPr>
      <w:r>
        <w:t>Zahlen, Fakten und Prognosen</w:t>
      </w:r>
    </w:p>
    <w:p w14:paraId="138F8A95" w14:textId="77777777" w:rsidR="004A1E10" w:rsidRDefault="000E14B3">
      <w:r>
        <w:t>Der Gaming Sektor konnte in den letzten Jahren massive Zuwächse verzeichnen. Videospiele wurden zu einem populä</w:t>
      </w:r>
      <w:r>
        <w:t xml:space="preserve">ren Zeitvertreib quer durch alle Altersklassen und Gesellschaftsschichten. Nicht nur die Absatzzahlen der Spiele Industrie unterstreichen das, sondern auch </w:t>
      </w:r>
      <w:hyperlink r:id="rId7" w:history="1">
        <w:r w:rsidRPr="000E14B3">
          <w:rPr>
            <w:rStyle w:val="Hyperlink0"/>
            <w:lang w:val="de-AT"/>
          </w:rPr>
          <w:t>zahlreiche Studien und Marktforschungen</w:t>
        </w:r>
      </w:hyperlink>
      <w:r>
        <w:t>. Der Verband der deutschen Games-Branche geht sogar so weit, dass er Games als das fortschrittlichste Medium unserer Zeit bezeichnet, denn die digitalen Spiele vereinen Kulturgut, sind Innovationsmotor und gleichzeitig Wir</w:t>
      </w:r>
      <w:r>
        <w:t xml:space="preserve">tschaftsfaktor. </w:t>
      </w:r>
    </w:p>
    <w:p w14:paraId="04C43B37" w14:textId="77777777" w:rsidR="004A1E10" w:rsidRDefault="000E14B3">
      <w:pPr>
        <w:pStyle w:val="berschrift2"/>
      </w:pPr>
      <w:proofErr w:type="gramStart"/>
      <w:r>
        <w:t>Online Portale</w:t>
      </w:r>
      <w:proofErr w:type="gramEnd"/>
      <w:r>
        <w:t>, App-Stores und Browser Versionen</w:t>
      </w:r>
    </w:p>
    <w:p w14:paraId="77207296" w14:textId="77777777" w:rsidR="004A1E10" w:rsidRDefault="000E14B3">
      <w:r>
        <w:t>Publisher entwickeln Spiele in großen Entwicklungsabteilungen und nicht selten werden hier Produktionsbudgets von mehreren Hundert Millionen Euro verwendet, um Spiele auf den Markt zu bringe</w:t>
      </w:r>
      <w:r>
        <w:t xml:space="preserve">n. Diese werden dann auf der ganzen Welt gelauncht und generieren nicht selten ein Vielfaches in die Entwickler-Kassen. Das funktioniert in der heute komplett digitalisierten Welt über Online-Portale oder App-Stores zum Download. So kann man Browser- oder </w:t>
      </w:r>
      <w:r>
        <w:t xml:space="preserve">Mobile-Games auf fast jedem Endgerät spielen. Eine Branche, die im Gaming Sektor von dieser Digitalisierung sehr profitiert, ist </w:t>
      </w:r>
      <w:proofErr w:type="spellStart"/>
      <w:r>
        <w:t>iGaming</w:t>
      </w:r>
      <w:proofErr w:type="spellEnd"/>
      <w:r>
        <w:t xml:space="preserve">. Auch wenn die digitalen Spielhallen </w:t>
      </w:r>
      <w:proofErr w:type="gramStart"/>
      <w:r>
        <w:t>noch relativ</w:t>
      </w:r>
      <w:proofErr w:type="gramEnd"/>
      <w:r>
        <w:t xml:space="preserve"> jung sind, so wurde der Glücksspielstaatsvertrag im vergangenen Jahr </w:t>
      </w:r>
      <w:r>
        <w:t xml:space="preserve">sogar novelliert und es wurden Gesetze beschlossen, die die Rahmenbedingungen klar regulieren. Entsprechend benötigen </w:t>
      </w:r>
      <w:hyperlink r:id="rId8" w:history="1">
        <w:r>
          <w:rPr>
            <w:rStyle w:val="Hyperlink0"/>
          </w:rPr>
          <w:t xml:space="preserve">seriöse </w:t>
        </w:r>
        <w:proofErr w:type="gramStart"/>
        <w:r>
          <w:rPr>
            <w:rStyle w:val="Hyperlink0"/>
          </w:rPr>
          <w:t>Online Casinos</w:t>
        </w:r>
        <w:proofErr w:type="gramEnd"/>
      </w:hyperlink>
      <w:r>
        <w:t xml:space="preserve"> die passenden Lizenzen und verpf</w:t>
      </w:r>
      <w:r>
        <w:t xml:space="preserve">lichten sich zu den angegebenen Auflagen. Wichtig ist dabei insbesondere, dass für den Spielerschutz Vorkehrungen getroffen werden. Beispielsweise darf das monatliche Einzahlungslimit von 1000 Euro nicht überschritten werden. </w:t>
      </w:r>
    </w:p>
    <w:p w14:paraId="32D8DAE1" w14:textId="77777777" w:rsidR="004A1E10" w:rsidRDefault="000E14B3">
      <w:pPr>
        <w:pStyle w:val="berschrift2"/>
      </w:pPr>
      <w:r>
        <w:t>Wirtschaftsfaktor und Arbeitg</w:t>
      </w:r>
      <w:r>
        <w:t>eber Gaming</w:t>
      </w:r>
    </w:p>
    <w:p w14:paraId="4451C347" w14:textId="77777777" w:rsidR="004A1E10" w:rsidRDefault="000E14B3">
      <w:r>
        <w:t>In Deutschland gibt es knapp 800 Unternehmen, die als Entwickler, Publisher oder in einer Kombination aus beidem in der Gaming-Branche operieren. Die innovativsten Projekte kommen dabei aus Berlin, Hamburg, München, dem Rhein-Main-Gebiet (Frank</w:t>
      </w:r>
      <w:r>
        <w:t xml:space="preserve">furt) und aus Nordrhein-Westfalen (Köln, Düsseldorf). Die tatsächlichen Hotspots der Gaming-Ballungszentren kann man sich auf der </w:t>
      </w:r>
      <w:hyperlink r:id="rId9" w:history="1">
        <w:proofErr w:type="spellStart"/>
        <w:r>
          <w:rPr>
            <w:rStyle w:val="Hyperlink0"/>
          </w:rPr>
          <w:t>gamesmap</w:t>
        </w:r>
        <w:proofErr w:type="spellEnd"/>
      </w:hyperlink>
      <w:r>
        <w:t xml:space="preserve"> genauer ansehen. Sie gibt einen detaillierten Überblick über die Standorte und die verschiedenen Unternehmen der Branche. Als zentra</w:t>
      </w:r>
      <w:r>
        <w:t xml:space="preserve">len Bestandteil der Kultur- und Kreativwirtschaft in Deutschland beschäftigt die Gaming-Branche über 11.000 Menschen im direkten Kontext. Nimmt man die Beschäftigten aus der erweiterten Wertschöpfungskette mit Fachverkäufern im Einzelhandel, Journalisten, </w:t>
      </w:r>
      <w:r>
        <w:t>Wissenschaftlern sowie Mitarbeitern von Behörden und Institutionen dazu, so kommt die Computer- und Videospielbranche auf rund 28.000 Arbeitsplätze. In den Regionen Nordrhein-Westfalen, Bayern, Rhein-Main, Hamburg und Berlin ist die Spiele-Industrie eine t</w:t>
      </w:r>
      <w:r>
        <w:t xml:space="preserve">reibende Kraft für neue Jobs. Zudem konnten sich die deutschen Entwickler auch international schon etablieren. Games aus Deutschland werden mittlerweile in mehr als 50 Länder weltweit exportiert. </w:t>
      </w:r>
    </w:p>
    <w:p w14:paraId="0FBD56F5" w14:textId="77777777" w:rsidR="004A1E10" w:rsidRDefault="000E14B3">
      <w:pPr>
        <w:pStyle w:val="berschrift2"/>
      </w:pPr>
      <w:r>
        <w:t>Berufsbilder und Studienplätze</w:t>
      </w:r>
    </w:p>
    <w:p w14:paraId="6DBDB883" w14:textId="77777777" w:rsidR="004A1E10" w:rsidRDefault="000E14B3">
      <w:r>
        <w:t>Die bekanntesten Berufsbilde</w:t>
      </w:r>
      <w:r>
        <w:t>r in der Gaming Branche sind:</w:t>
      </w:r>
    </w:p>
    <w:p w14:paraId="225C6CAF" w14:textId="77777777" w:rsidR="004A1E10" w:rsidRDefault="000E14B3">
      <w:pPr>
        <w:pStyle w:val="Listenabsatz"/>
        <w:numPr>
          <w:ilvl w:val="0"/>
          <w:numId w:val="2"/>
        </w:numPr>
      </w:pPr>
      <w:r>
        <w:t>Game-Designer</w:t>
      </w:r>
    </w:p>
    <w:p w14:paraId="4EC2290D" w14:textId="77777777" w:rsidR="004A1E10" w:rsidRDefault="000E14B3">
      <w:pPr>
        <w:pStyle w:val="Listenabsatz"/>
        <w:numPr>
          <w:ilvl w:val="0"/>
          <w:numId w:val="2"/>
        </w:numPr>
      </w:pPr>
      <w:r>
        <w:t>Programmierer</w:t>
      </w:r>
    </w:p>
    <w:p w14:paraId="09ADA966" w14:textId="77777777" w:rsidR="004A1E10" w:rsidRDefault="000E14B3">
      <w:pPr>
        <w:pStyle w:val="Listenabsatz"/>
        <w:numPr>
          <w:ilvl w:val="0"/>
          <w:numId w:val="2"/>
        </w:numPr>
      </w:pPr>
      <w:r>
        <w:t>Grafiker</w:t>
      </w:r>
    </w:p>
    <w:p w14:paraId="66486114" w14:textId="77777777" w:rsidR="004A1E10" w:rsidRDefault="000E14B3">
      <w:pPr>
        <w:pStyle w:val="Listenabsatz"/>
        <w:numPr>
          <w:ilvl w:val="0"/>
          <w:numId w:val="2"/>
        </w:numPr>
      </w:pPr>
      <w:r>
        <w:t>Producer</w:t>
      </w:r>
    </w:p>
    <w:p w14:paraId="01C130DC" w14:textId="77777777" w:rsidR="004A1E10" w:rsidRDefault="000E14B3">
      <w:r>
        <w:lastRenderedPageBreak/>
        <w:t xml:space="preserve">Auch für </w:t>
      </w:r>
      <w:hyperlink r:id="rId10" w:history="1">
        <w:r>
          <w:rPr>
            <w:rStyle w:val="Hyperlink0"/>
          </w:rPr>
          <w:t>Studien und Forschung</w:t>
        </w:r>
      </w:hyperlink>
      <w:r>
        <w:t xml:space="preserve"> in diesem Bereich wird immer wieder qualifiziertes Perso</w:t>
      </w:r>
      <w:r>
        <w:t>nal rekrutiert. Private wie auch staatliche Bildungseinrichtungen haben diesen Trend bereits erkannt und es gibt maßgeschneiderte Studiengänge rund um das Thema Gaming. Zukünftig wird es nötig sein, in Kooperation mit Wirtschaft und Hochschulen das Ausbild</w:t>
      </w:r>
      <w:r>
        <w:t xml:space="preserve">ungsangebot in Deutschland weiter auszubauen und so den Entwicklungsstandort nachhaltig zu positionieren. Alle für die Gaming Industrie relevanten Studiengänge findet man auf </w:t>
      </w:r>
      <w:hyperlink r:id="rId11" w:history="1">
        <w:proofErr w:type="spellStart"/>
        <w:r>
          <w:rPr>
            <w:rStyle w:val="Hyperlink0"/>
          </w:rPr>
          <w:t>gamecampus</w:t>
        </w:r>
        <w:proofErr w:type="spellEnd"/>
      </w:hyperlink>
      <w:r>
        <w:t xml:space="preserve">. </w:t>
      </w:r>
    </w:p>
    <w:p w14:paraId="6B7C0D4F" w14:textId="77777777" w:rsidR="004A1E10" w:rsidRDefault="000E14B3">
      <w:pPr>
        <w:pStyle w:val="berschrift2"/>
      </w:pPr>
      <w:r>
        <w:t>Unterschiedlich kostenintensive Produktionsmittel</w:t>
      </w:r>
    </w:p>
    <w:p w14:paraId="1117820C" w14:textId="77777777" w:rsidR="004A1E10" w:rsidRDefault="000E14B3">
      <w:r>
        <w:t>Um ein Computerspiel zu entwickeln, benötigt man viele unterschiedliche Ressourcen und Komponenten:</w:t>
      </w:r>
    </w:p>
    <w:p w14:paraId="4DE4B198" w14:textId="77777777" w:rsidR="004A1E10" w:rsidRDefault="000E14B3">
      <w:pPr>
        <w:pStyle w:val="Listenabsatz"/>
        <w:numPr>
          <w:ilvl w:val="0"/>
          <w:numId w:val="4"/>
        </w:numPr>
      </w:pPr>
      <w:r>
        <w:t>Sprache</w:t>
      </w:r>
    </w:p>
    <w:p w14:paraId="597DE6A3" w14:textId="77777777" w:rsidR="004A1E10" w:rsidRDefault="000E14B3">
      <w:pPr>
        <w:pStyle w:val="Listenabsatz"/>
        <w:numPr>
          <w:ilvl w:val="0"/>
          <w:numId w:val="4"/>
        </w:numPr>
      </w:pPr>
      <w:r>
        <w:t>Text</w:t>
      </w:r>
    </w:p>
    <w:p w14:paraId="4E05F3EC" w14:textId="77777777" w:rsidR="004A1E10" w:rsidRDefault="000E14B3">
      <w:pPr>
        <w:pStyle w:val="Listenabsatz"/>
        <w:numPr>
          <w:ilvl w:val="0"/>
          <w:numId w:val="4"/>
        </w:numPr>
      </w:pPr>
      <w:r>
        <w:t xml:space="preserve">Klang </w:t>
      </w:r>
    </w:p>
    <w:p w14:paraId="556B9679" w14:textId="77777777" w:rsidR="004A1E10" w:rsidRDefault="000E14B3">
      <w:pPr>
        <w:pStyle w:val="Listenabsatz"/>
        <w:numPr>
          <w:ilvl w:val="0"/>
          <w:numId w:val="4"/>
        </w:numPr>
      </w:pPr>
      <w:r>
        <w:t>Bewegtbild</w:t>
      </w:r>
    </w:p>
    <w:p w14:paraId="1B7895D2" w14:textId="77777777" w:rsidR="004A1E10" w:rsidRDefault="000E14B3">
      <w:pPr>
        <w:pStyle w:val="Listenabsatz"/>
        <w:numPr>
          <w:ilvl w:val="0"/>
          <w:numId w:val="4"/>
        </w:numPr>
      </w:pPr>
      <w:r>
        <w:t>Interaktivität</w:t>
      </w:r>
    </w:p>
    <w:p w14:paraId="7C186869" w14:textId="77777777" w:rsidR="004A1E10" w:rsidRDefault="000E14B3">
      <w:r>
        <w:t>So kreiert jedes Spiel neue spielerische und sozia</w:t>
      </w:r>
      <w:r>
        <w:t>l einzigartige Erfahrungen. Fest steht jedoch auch, dass zur Gaming-Branche nicht nur Entwickler und Publisher gehören, sondern darüber hinaus zahlreiche andere Akteure wie beispielsweise Bildungseinrichtungen, Dienstleister, Handelspartner, Investoren und</w:t>
      </w:r>
      <w:r>
        <w:t xml:space="preserve"> Medien. Die klassischen Grenzen zwischen Entwicklungsstudios und Publishern verschwimmen immer mehr. Auch die Produktion von einem Game an sich kann unterschiedlich kostenintensiv sein. Oft werden erfolgreiche Spiele von kleinen Zwei-Mann-Studios entwicke</w:t>
      </w:r>
      <w:r>
        <w:t>lt, oft agiert ein Entwicklerteam von mehreren Hundert Personen im Hintergrund. Darüber hinaus finanzieren kleine und unabhängige Entwickler-Teams über neue Finanzierungsformen wie Crowd-Funding ihre Spiele-Produktion selbst. Dieser Wandel in der Produktio</w:t>
      </w:r>
      <w:r>
        <w:t>n und bei der Finanzierung bringt eine noch nie da gewesene Vielfalt an Spielen auf den Markt. Zudem ist auch die Distribution durch das Internet viel einfacher geworden. Die meisten Games kann man bequem downloaden. Auch das bringt für den Kunden eine eno</w:t>
      </w:r>
      <w:r>
        <w:t xml:space="preserve">rme Auswahlmöglichkeit an unzähligen verschiedenen Spielen mit sich. </w:t>
      </w:r>
    </w:p>
    <w:p w14:paraId="4F6A7D27" w14:textId="77777777" w:rsidR="004A1E10" w:rsidRDefault="000E14B3">
      <w:pPr>
        <w:pStyle w:val="berschrift2"/>
      </w:pPr>
      <w:r>
        <w:t>Weiterhin dynamische Entwicklung</w:t>
      </w:r>
    </w:p>
    <w:p w14:paraId="4350287F" w14:textId="77777777" w:rsidR="004A1E10" w:rsidRDefault="000E14B3">
      <w:r>
        <w:t xml:space="preserve">Die Gaming Branche ist sehr dynamisch und dadurch werden in der Computer- und Videospielbranche immer wieder neue Innovationen etabliert. </w:t>
      </w:r>
      <w:r>
        <w:t xml:space="preserve">Deutschland war hier in der Vergangenheit vor allem als Standort für die Entwicklung von anspruchsvollen Strategiespielen, Management-Simulationen und </w:t>
      </w:r>
      <w:proofErr w:type="spellStart"/>
      <w:r>
        <w:t>Point’n‘Click</w:t>
      </w:r>
      <w:proofErr w:type="spellEnd"/>
      <w:r>
        <w:t>-Adventures bekannt. Diese Games fanden vor allem auf dem heimischen Markt ein großes Publik</w:t>
      </w:r>
      <w:r>
        <w:t>um. Der Trendwechsel kam mit Online- und Browser-Games sowie den Spiele-Apps für das Smartphone. Auch hier konnten deutsche Unternehmen national und international große Erfolge verzeichnen. Gaming ist und bleibt ein sehr agiles Geschäftsfeld und die deutsc</w:t>
      </w:r>
      <w:r>
        <w:t xml:space="preserve">hen Game-Designer, Programmierer, Grafiker und Producer werden auch weiterhin neue und innovative Spiele auf den Markt bringen, die dem Gaming Publikum viel Freude bereiten werden. </w:t>
      </w:r>
    </w:p>
    <w:p w14:paraId="752E561E" w14:textId="77777777" w:rsidR="004A1E10" w:rsidRDefault="004A1E10">
      <w:pPr>
        <w:spacing w:after="0" w:line="240" w:lineRule="auto"/>
      </w:pPr>
    </w:p>
    <w:p w14:paraId="0DAAAFC4" w14:textId="77777777" w:rsidR="004A1E10" w:rsidRDefault="000E14B3">
      <w:r>
        <w:lastRenderedPageBreak/>
        <w:t xml:space="preserve">https://pixabay.com/photos/pokemon-pokemon-go-pocket-monster-1543353/ </w:t>
      </w:r>
      <w:r>
        <w:rPr>
          <w:noProof/>
        </w:rPr>
        <w:drawing>
          <wp:inline distT="0" distB="0" distL="0" distR="0" wp14:anchorId="3DFD44FC" wp14:editId="384C4E64">
            <wp:extent cx="5760721" cy="3840480"/>
            <wp:effectExtent l="0" t="0" r="0" b="0"/>
            <wp:docPr id="1073741825" name="officeArt object" descr="Pokemon, Pokemon Go, Pocket Monster, Players, Road"/>
            <wp:cNvGraphicFramePr/>
            <a:graphic xmlns:a="http://schemas.openxmlformats.org/drawingml/2006/main">
              <a:graphicData uri="http://schemas.openxmlformats.org/drawingml/2006/picture">
                <pic:pic xmlns:pic="http://schemas.openxmlformats.org/drawingml/2006/picture">
                  <pic:nvPicPr>
                    <pic:cNvPr id="1073741825" name="Pokemon, Pokemon Go, Pocket Monster, Players, Road" descr="Pokemon, Pokemon Go, Pocket Monster, Players, Road"/>
                    <pic:cNvPicPr>
                      <a:picLocks noChangeAspect="1"/>
                    </pic:cNvPicPr>
                  </pic:nvPicPr>
                  <pic:blipFill>
                    <a:blip r:embed="rId12"/>
                    <a:stretch>
                      <a:fillRect/>
                    </a:stretch>
                  </pic:blipFill>
                  <pic:spPr>
                    <a:xfrm>
                      <a:off x="0" y="0"/>
                      <a:ext cx="5760721" cy="3840480"/>
                    </a:xfrm>
                    <a:prstGeom prst="rect">
                      <a:avLst/>
                    </a:prstGeom>
                    <a:ln w="12700" cap="flat">
                      <a:noFill/>
                      <a:miter lim="400000"/>
                    </a:ln>
                    <a:effectLst/>
                  </pic:spPr>
                </pic:pic>
              </a:graphicData>
            </a:graphic>
          </wp:inline>
        </w:drawing>
      </w:r>
    </w:p>
    <w:p w14:paraId="6825B736" w14:textId="77777777" w:rsidR="004A1E10" w:rsidRDefault="004A1E10"/>
    <w:p w14:paraId="09F277A0" w14:textId="77777777" w:rsidR="004A1E10" w:rsidRDefault="000E14B3">
      <w:r>
        <w:t xml:space="preserve">https://pixabay.com/photos/woman-female-girl-ginger-red-6920636/ </w:t>
      </w:r>
      <w:r>
        <w:rPr>
          <w:noProof/>
        </w:rPr>
        <w:drawing>
          <wp:inline distT="0" distB="0" distL="0" distR="0" wp14:anchorId="626819CF" wp14:editId="4EB2FEFA">
            <wp:extent cx="5760721" cy="3840480"/>
            <wp:effectExtent l="0" t="0" r="0" b="0"/>
            <wp:docPr id="1073741826" name="officeArt object" descr="Woman, Female, Girl, Ginger, Red, Redhead, Playing"/>
            <wp:cNvGraphicFramePr/>
            <a:graphic xmlns:a="http://schemas.openxmlformats.org/drawingml/2006/main">
              <a:graphicData uri="http://schemas.openxmlformats.org/drawingml/2006/picture">
                <pic:pic xmlns:pic="http://schemas.openxmlformats.org/drawingml/2006/picture">
                  <pic:nvPicPr>
                    <pic:cNvPr id="1073741826" name="Woman, Female, Girl, Ginger, Red, Redhead, Playing" descr="Woman, Female, Girl, Ginger, Red, Redhead, Playing"/>
                    <pic:cNvPicPr>
                      <a:picLocks noChangeAspect="1"/>
                    </pic:cNvPicPr>
                  </pic:nvPicPr>
                  <pic:blipFill>
                    <a:blip r:embed="rId13"/>
                    <a:stretch>
                      <a:fillRect/>
                    </a:stretch>
                  </pic:blipFill>
                  <pic:spPr>
                    <a:xfrm>
                      <a:off x="0" y="0"/>
                      <a:ext cx="5760721" cy="3840480"/>
                    </a:xfrm>
                    <a:prstGeom prst="rect">
                      <a:avLst/>
                    </a:prstGeom>
                    <a:ln w="12700" cap="flat">
                      <a:noFill/>
                      <a:miter lim="400000"/>
                    </a:ln>
                    <a:effectLst/>
                  </pic:spPr>
                </pic:pic>
              </a:graphicData>
            </a:graphic>
          </wp:inline>
        </w:drawing>
      </w:r>
    </w:p>
    <w:p w14:paraId="35E3E2E8" w14:textId="77777777" w:rsidR="004A1E10" w:rsidRDefault="004A1E10"/>
    <w:p w14:paraId="0284B773" w14:textId="77777777" w:rsidR="004A1E10" w:rsidRDefault="000E14B3">
      <w:r>
        <w:lastRenderedPageBreak/>
        <w:t xml:space="preserve">https://pixabay.com/photos/candy-crush-device-electronics-game-1869655/ </w:t>
      </w:r>
      <w:r>
        <w:rPr>
          <w:noProof/>
        </w:rPr>
        <w:drawing>
          <wp:inline distT="0" distB="0" distL="0" distR="0" wp14:anchorId="43ECA26C" wp14:editId="681FEEC3">
            <wp:extent cx="5760720" cy="4320540"/>
            <wp:effectExtent l="0" t="0" r="0" b="0"/>
            <wp:docPr id="1073741827" name="officeArt object" descr="Candy Crush, Device, Electronics, Game, Hands"/>
            <wp:cNvGraphicFramePr/>
            <a:graphic xmlns:a="http://schemas.openxmlformats.org/drawingml/2006/main">
              <a:graphicData uri="http://schemas.openxmlformats.org/drawingml/2006/picture">
                <pic:pic xmlns:pic="http://schemas.openxmlformats.org/drawingml/2006/picture">
                  <pic:nvPicPr>
                    <pic:cNvPr id="1073741827" name="Candy Crush, Device, Electronics, Game, Hands" descr="Candy Crush, Device, Electronics, Game, Hands"/>
                    <pic:cNvPicPr>
                      <a:picLocks noChangeAspect="1"/>
                    </pic:cNvPicPr>
                  </pic:nvPicPr>
                  <pic:blipFill>
                    <a:blip r:embed="rId14"/>
                    <a:stretch>
                      <a:fillRect/>
                    </a:stretch>
                  </pic:blipFill>
                  <pic:spPr>
                    <a:xfrm>
                      <a:off x="0" y="0"/>
                      <a:ext cx="5760720" cy="4320540"/>
                    </a:xfrm>
                    <a:prstGeom prst="rect">
                      <a:avLst/>
                    </a:prstGeom>
                    <a:ln w="12700" cap="flat">
                      <a:noFill/>
                      <a:miter lim="400000"/>
                    </a:ln>
                    <a:effectLst/>
                  </pic:spPr>
                </pic:pic>
              </a:graphicData>
            </a:graphic>
          </wp:inline>
        </w:drawing>
      </w:r>
    </w:p>
    <w:p w14:paraId="387E7019" w14:textId="77777777" w:rsidR="004A1E10" w:rsidRDefault="004A1E10"/>
    <w:p w14:paraId="659F4733" w14:textId="77777777" w:rsidR="004A1E10" w:rsidRDefault="000E14B3">
      <w:hyperlink r:id="rId15" w:history="1">
        <w:r>
          <w:rPr>
            <w:rStyle w:val="Hyperlink0"/>
          </w:rPr>
          <w:t>https://pixab</w:t>
        </w:r>
        <w:r>
          <w:rPr>
            <w:rStyle w:val="Hyperlink0"/>
          </w:rPr>
          <w:t>ay.com/de/photos/w%c3%bcrfel-spiel-einfarbig-w%c3%bcrfeln-1502706/</w:t>
        </w:r>
      </w:hyperlink>
      <w:r>
        <w:rPr>
          <w:noProof/>
          <w:color w:val="0563C1"/>
          <w:u w:color="0563C1"/>
        </w:rPr>
        <w:drawing>
          <wp:inline distT="0" distB="0" distL="0" distR="0" wp14:anchorId="2C178D67" wp14:editId="1E9864BD">
            <wp:extent cx="5760721" cy="3840480"/>
            <wp:effectExtent l="0" t="0" r="0" b="0"/>
            <wp:docPr id="1073741828" name="officeArt object" descr="Kostenlose Fotos zum Thema Würfel"/>
            <wp:cNvGraphicFramePr/>
            <a:graphic xmlns:a="http://schemas.openxmlformats.org/drawingml/2006/main">
              <a:graphicData uri="http://schemas.openxmlformats.org/drawingml/2006/picture">
                <pic:pic xmlns:pic="http://schemas.openxmlformats.org/drawingml/2006/picture">
                  <pic:nvPicPr>
                    <pic:cNvPr id="1073741828" name="Kostenlose Fotos zum Thema Würfel" descr="Kostenlose Fotos zum Thema Würfel"/>
                    <pic:cNvPicPr>
                      <a:picLocks noChangeAspect="1"/>
                    </pic:cNvPicPr>
                  </pic:nvPicPr>
                  <pic:blipFill>
                    <a:blip r:embed="rId16"/>
                    <a:stretch>
                      <a:fillRect/>
                    </a:stretch>
                  </pic:blipFill>
                  <pic:spPr>
                    <a:xfrm>
                      <a:off x="0" y="0"/>
                      <a:ext cx="5760721" cy="3840480"/>
                    </a:xfrm>
                    <a:prstGeom prst="rect">
                      <a:avLst/>
                    </a:prstGeom>
                    <a:ln w="12700" cap="flat">
                      <a:noFill/>
                      <a:miter lim="400000"/>
                    </a:ln>
                    <a:effectLst/>
                  </pic:spPr>
                </pic:pic>
              </a:graphicData>
            </a:graphic>
          </wp:inline>
        </w:drawing>
      </w:r>
    </w:p>
    <w:p w14:paraId="2A7B5163" w14:textId="77777777" w:rsidR="004A1E10" w:rsidRDefault="004A1E10"/>
    <w:p w14:paraId="57EDFEFB" w14:textId="77777777" w:rsidR="004A1E10" w:rsidRDefault="004A1E10"/>
    <w:p w14:paraId="605BCFFA" w14:textId="77777777" w:rsidR="004A1E10" w:rsidRDefault="000E14B3">
      <w:hyperlink r:id="rId17" w:history="1">
        <w:r>
          <w:rPr>
            <w:rStyle w:val="Hyperlink0"/>
          </w:rPr>
          <w:t>https://pixabay.com/de/illustrations/gesch%c3%a4ft-er</w:t>
        </w:r>
        <w:r>
          <w:rPr>
            <w:rStyle w:val="Hyperlink0"/>
          </w:rPr>
          <w:t>folg-kurve-hand-1989130/</w:t>
        </w:r>
      </w:hyperlink>
      <w:r>
        <w:rPr>
          <w:noProof/>
          <w:color w:val="0563C1"/>
          <w:u w:color="0563C1"/>
        </w:rPr>
        <w:drawing>
          <wp:inline distT="0" distB="0" distL="0" distR="0" wp14:anchorId="575D629A" wp14:editId="349C93C6">
            <wp:extent cx="5760721" cy="3840480"/>
            <wp:effectExtent l="0" t="0" r="0" b="0"/>
            <wp:docPr id="1073741829" name="officeArt object" descr="Kostenlose Illustrationen zum Thema Geschäft"/>
            <wp:cNvGraphicFramePr/>
            <a:graphic xmlns:a="http://schemas.openxmlformats.org/drawingml/2006/main">
              <a:graphicData uri="http://schemas.openxmlformats.org/drawingml/2006/picture">
                <pic:pic xmlns:pic="http://schemas.openxmlformats.org/drawingml/2006/picture">
                  <pic:nvPicPr>
                    <pic:cNvPr id="1073741829" name="Kostenlose Illustrationen zum Thema Geschäft" descr="Kostenlose Illustrationen zum Thema Geschäft"/>
                    <pic:cNvPicPr>
                      <a:picLocks noChangeAspect="1"/>
                    </pic:cNvPicPr>
                  </pic:nvPicPr>
                  <pic:blipFill>
                    <a:blip r:embed="rId18"/>
                    <a:stretch>
                      <a:fillRect/>
                    </a:stretch>
                  </pic:blipFill>
                  <pic:spPr>
                    <a:xfrm>
                      <a:off x="0" y="0"/>
                      <a:ext cx="5760721" cy="3840480"/>
                    </a:xfrm>
                    <a:prstGeom prst="rect">
                      <a:avLst/>
                    </a:prstGeom>
                    <a:ln w="12700" cap="flat">
                      <a:noFill/>
                      <a:miter lim="400000"/>
                    </a:ln>
                    <a:effectLst/>
                  </pic:spPr>
                </pic:pic>
              </a:graphicData>
            </a:graphic>
          </wp:inline>
        </w:drawing>
      </w:r>
    </w:p>
    <w:p w14:paraId="3D46A022" w14:textId="77777777" w:rsidR="004A1E10" w:rsidRDefault="004A1E10"/>
    <w:p w14:paraId="597A0AEC" w14:textId="77777777" w:rsidR="004A1E10" w:rsidRDefault="004A1E10">
      <w:pPr>
        <w:spacing w:after="0" w:line="240" w:lineRule="auto"/>
      </w:pPr>
    </w:p>
    <w:p w14:paraId="3A01E005" w14:textId="77777777" w:rsidR="004A1E10" w:rsidRDefault="004A1E10">
      <w:pPr>
        <w:spacing w:after="0" w:line="240" w:lineRule="auto"/>
      </w:pPr>
    </w:p>
    <w:p w14:paraId="74FBE2F3" w14:textId="77777777" w:rsidR="004A1E10" w:rsidRDefault="004A1E10">
      <w:pPr>
        <w:spacing w:after="0" w:line="240" w:lineRule="auto"/>
      </w:pPr>
    </w:p>
    <w:p w14:paraId="7E3E7AE3" w14:textId="77777777" w:rsidR="004A1E10" w:rsidRDefault="004A1E10">
      <w:pPr>
        <w:spacing w:after="0" w:line="240" w:lineRule="auto"/>
      </w:pPr>
    </w:p>
    <w:sectPr w:rsidR="004A1E10">
      <w:headerReference w:type="default" r:id="rId19"/>
      <w:footerReference w:type="default" r:id="rId20"/>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8103" w14:textId="77777777" w:rsidR="00000000" w:rsidRDefault="000E14B3">
      <w:pPr>
        <w:spacing w:after="0" w:line="240" w:lineRule="auto"/>
      </w:pPr>
      <w:r>
        <w:separator/>
      </w:r>
    </w:p>
  </w:endnote>
  <w:endnote w:type="continuationSeparator" w:id="0">
    <w:p w14:paraId="7E9B42F5" w14:textId="77777777" w:rsidR="00000000" w:rsidRDefault="000E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86F7" w14:textId="77777777" w:rsidR="004A1E10" w:rsidRDefault="004A1E1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E6FF" w14:textId="77777777" w:rsidR="00000000" w:rsidRDefault="000E14B3">
      <w:pPr>
        <w:spacing w:after="0" w:line="240" w:lineRule="auto"/>
      </w:pPr>
      <w:r>
        <w:separator/>
      </w:r>
    </w:p>
  </w:footnote>
  <w:footnote w:type="continuationSeparator" w:id="0">
    <w:p w14:paraId="0DAE0B0C" w14:textId="77777777" w:rsidR="00000000" w:rsidRDefault="000E1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860B" w14:textId="77777777" w:rsidR="004A1E10" w:rsidRDefault="004A1E1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92782"/>
    <w:multiLevelType w:val="hybridMultilevel"/>
    <w:tmpl w:val="E1F27D28"/>
    <w:numStyleLink w:val="ImportedStyle1"/>
  </w:abstractNum>
  <w:abstractNum w:abstractNumId="1" w15:restartNumberingAfterBreak="0">
    <w:nsid w:val="57F757CF"/>
    <w:multiLevelType w:val="hybridMultilevel"/>
    <w:tmpl w:val="2820AD50"/>
    <w:numStyleLink w:val="ImportedStyle2"/>
  </w:abstractNum>
  <w:abstractNum w:abstractNumId="2" w15:restartNumberingAfterBreak="0">
    <w:nsid w:val="6224471B"/>
    <w:multiLevelType w:val="hybridMultilevel"/>
    <w:tmpl w:val="2820AD50"/>
    <w:styleLink w:val="ImportedStyle2"/>
    <w:lvl w:ilvl="0" w:tplc="624202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AC61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784C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BE47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36EE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9859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3CA9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E2FC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30C7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EB01CBF"/>
    <w:multiLevelType w:val="hybridMultilevel"/>
    <w:tmpl w:val="E1F27D28"/>
    <w:styleLink w:val="ImportedStyle1"/>
    <w:lvl w:ilvl="0" w:tplc="C5F498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70A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2091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6872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76FA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5EDB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DA0D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52D6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2C46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37266123">
    <w:abstractNumId w:val="3"/>
  </w:num>
  <w:num w:numId="2" w16cid:durableId="412092901">
    <w:abstractNumId w:val="0"/>
  </w:num>
  <w:num w:numId="3" w16cid:durableId="245842824">
    <w:abstractNumId w:val="2"/>
  </w:num>
  <w:num w:numId="4" w16cid:durableId="298801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10"/>
    <w:rsid w:val="000E14B3"/>
    <w:rsid w:val="004A1E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6FD8"/>
  <w15:docId w15:val="{14CD83C4-EA2B-49FA-A9B8-56B6234E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hAnsi="Calibri" w:cs="Arial Unicode MS"/>
      <w:color w:val="000000"/>
      <w:sz w:val="22"/>
      <w:szCs w:val="22"/>
      <w:u w:color="000000"/>
      <w:lang w:val="de-DE"/>
    </w:rPr>
  </w:style>
  <w:style w:type="paragraph" w:styleId="berschrift1">
    <w:name w:val="heading 1"/>
    <w:next w:val="Standard"/>
    <w:uiPriority w:val="9"/>
    <w:qFormat/>
    <w:pPr>
      <w:keepNext/>
      <w:keepLines/>
      <w:spacing w:before="240" w:line="259" w:lineRule="auto"/>
      <w:outlineLvl w:val="0"/>
    </w:pPr>
    <w:rPr>
      <w:rFonts w:ascii="Calibri Light" w:hAnsi="Calibri Light" w:cs="Arial Unicode MS"/>
      <w:color w:val="2F5496"/>
      <w:sz w:val="32"/>
      <w:szCs w:val="32"/>
      <w:u w:color="2F5496"/>
      <w:lang w:val="de-DE"/>
    </w:rPr>
  </w:style>
  <w:style w:type="paragraph" w:styleId="berschrift2">
    <w:name w:val="heading 2"/>
    <w:next w:val="Standard"/>
    <w:uiPriority w:val="9"/>
    <w:unhideWhenUsed/>
    <w:qFormat/>
    <w:pPr>
      <w:keepNext/>
      <w:keepLines/>
      <w:spacing w:before="40" w:line="259" w:lineRule="auto"/>
      <w:outlineLvl w:val="1"/>
    </w:pPr>
    <w:rPr>
      <w:rFonts w:ascii="Calibri Light" w:hAnsi="Calibri Light" w:cs="Arial Unicode MS"/>
      <w:color w:val="2F5496"/>
      <w:sz w:val="26"/>
      <w:szCs w:val="26"/>
      <w:u w:color="2F549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enabsatz">
    <w:name w:val="List Paragraph"/>
    <w:pPr>
      <w:spacing w:after="160" w:line="259" w:lineRule="auto"/>
      <w:ind w:left="720"/>
    </w:pPr>
    <w:rPr>
      <w:rFonts w:ascii="Calibri" w:hAnsi="Calibri" w:cs="Arial Unicode MS"/>
      <w:color w:val="000000"/>
      <w:sz w:val="22"/>
      <w:szCs w:val="22"/>
      <w:u w:color="000000"/>
      <w:lang w:val="de-D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pielhallen.com/casinos/"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arktmeinungmensch.de/anbieter/" TargetMode="External"/><Relationship Id="rId12" Type="http://schemas.openxmlformats.org/officeDocument/2006/relationships/image" Target="media/image1.jpeg"/><Relationship Id="rId17" Type="http://schemas.openxmlformats.org/officeDocument/2006/relationships/hyperlink" Target="https://pixabay.com/de/illustrations/gesch%25c3%25a4ft-erfolg-kurve-hand-1989130/"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mecampus.de/" TargetMode="External"/><Relationship Id="rId5" Type="http://schemas.openxmlformats.org/officeDocument/2006/relationships/footnotes" Target="footnotes.xml"/><Relationship Id="rId15" Type="http://schemas.openxmlformats.org/officeDocument/2006/relationships/hyperlink" Target="https://pixabay.com/de/photos/w%25c3%25bcrfel-spiel-einfarbig-w%25c3%25bcrfeln-1502706/" TargetMode="External"/><Relationship Id="rId10" Type="http://schemas.openxmlformats.org/officeDocument/2006/relationships/hyperlink" Target="https://www.marktmeinungmensch.de/studi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mesmap.de/?v=1&amp;c=51-9-42-50-52-10-43-8-58-25-21-27-41-2-1-26-33-36-17-12-14-28-44-59-39-18-47-53-22-37-45-30-40-49-54-60-19-48-55-29-35-31-56-3-46-32-61-62-13-24-23-16-63-20-15"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5954</Characters>
  <Application>Microsoft Office Word</Application>
  <DocSecurity>4</DocSecurity>
  <Lines>49</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Gunther Oswalder</cp:lastModifiedBy>
  <cp:revision>2</cp:revision>
  <dcterms:created xsi:type="dcterms:W3CDTF">2022-10-28T09:44:00Z</dcterms:created>
  <dcterms:modified xsi:type="dcterms:W3CDTF">2022-10-28T09:44:00Z</dcterms:modified>
</cp:coreProperties>
</file>